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8F68" w14:textId="1A401F28" w:rsidR="0080142B" w:rsidRPr="0080142B" w:rsidRDefault="00F16042" w:rsidP="0080142B">
      <w:pPr>
        <w:spacing w:before="120" w:line="240" w:lineRule="auto"/>
        <w:rPr>
          <w:rFonts w:ascii="Poppins SemiBold" w:hAnsi="Poppins SemiBold" w:cs="Poppins SemiBold"/>
          <w:b/>
          <w:bCs/>
          <w:color w:val="FFFFFF" w:themeColor="background1"/>
          <w:sz w:val="44"/>
          <w:szCs w:val="44"/>
        </w:rPr>
      </w:pPr>
      <w:r w:rsidRPr="0080142B">
        <w:rPr>
          <w:rFonts w:ascii="Poppins" w:eastAsiaTheme="majorEastAsia" w:hAnsi="Poppins" w:cs="Poppins"/>
          <w:b/>
          <w:bCs/>
          <w:i/>
          <w:iCs/>
          <w:noProof/>
          <w:color w:val="FFFFFF" w:themeColor="background1"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7D44239E" wp14:editId="4BD74ACE">
            <wp:simplePos x="0" y="0"/>
            <wp:positionH relativeFrom="column">
              <wp:posOffset>-455930</wp:posOffset>
            </wp:positionH>
            <wp:positionV relativeFrom="paragraph">
              <wp:posOffset>-786968</wp:posOffset>
            </wp:positionV>
            <wp:extent cx="7792085" cy="3083560"/>
            <wp:effectExtent l="0" t="0" r="5715" b="2540"/>
            <wp:wrapNone/>
            <wp:docPr id="1828195468" name="Picture 3" descr="A blue and purple rectangle with a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95468" name="Picture 3" descr="A blue and purple rectangle with a white circ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4" b="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85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42B" w:rsidRPr="0080142B">
        <w:rPr>
          <w:rFonts w:ascii="Poppins SemiBold" w:hAnsi="Poppins SemiBold" w:cs="Poppins SemiBold"/>
          <w:b/>
          <w:bCs/>
          <w:color w:val="FFFFFF" w:themeColor="background1"/>
          <w:sz w:val="44"/>
          <w:szCs w:val="44"/>
        </w:rPr>
        <w:t>Motivational Design Checklist</w:t>
      </w:r>
    </w:p>
    <w:p w14:paraId="4D899EAF" w14:textId="26138D7D" w:rsidR="0080142B" w:rsidRPr="0080142B" w:rsidRDefault="0080142B" w:rsidP="0080142B">
      <w:pPr>
        <w:spacing w:line="280" w:lineRule="exact"/>
        <w:rPr>
          <w:rFonts w:ascii="Poppins" w:hAnsi="Poppins" w:cs="Poppins"/>
          <w:color w:val="FFFFFF" w:themeColor="background1"/>
          <w:sz w:val="22"/>
          <w:szCs w:val="22"/>
        </w:rPr>
      </w:pPr>
      <w:r w:rsidRPr="0080142B">
        <w:rPr>
          <w:rFonts w:ascii="Poppins" w:hAnsi="Poppins" w:cs="Poppins"/>
          <w:color w:val="FFFFFF" w:themeColor="background1"/>
          <w:sz w:val="22"/>
          <w:szCs w:val="22"/>
        </w:rPr>
        <w:t xml:space="preserve">This easy step-by-step checklist will help you follow the ARCS </w:t>
      </w:r>
      <w:r w:rsidRPr="0080142B">
        <w:rPr>
          <w:rFonts w:ascii="Poppins" w:hAnsi="Poppins" w:cs="Poppins"/>
          <w:color w:val="FFFFFF" w:themeColor="background1"/>
          <w:sz w:val="22"/>
          <w:szCs w:val="22"/>
        </w:rPr>
        <w:br/>
        <w:t xml:space="preserve">Model (Attention, Relevance, Confidence, Satisfaction) for </w:t>
      </w:r>
      <w:r w:rsidRPr="0080142B">
        <w:rPr>
          <w:rFonts w:ascii="Poppins" w:hAnsi="Poppins" w:cs="Poppins"/>
          <w:color w:val="FFFFFF" w:themeColor="background1"/>
          <w:sz w:val="22"/>
          <w:szCs w:val="22"/>
        </w:rPr>
        <w:br/>
        <w:t xml:space="preserve">motivational design in Learning &amp; Development (L&amp;D). Instructional </w:t>
      </w:r>
      <w:r w:rsidRPr="0080142B">
        <w:rPr>
          <w:rFonts w:ascii="Poppins" w:hAnsi="Poppins" w:cs="Poppins"/>
          <w:color w:val="FFFFFF" w:themeColor="background1"/>
          <w:sz w:val="22"/>
          <w:szCs w:val="22"/>
        </w:rPr>
        <w:br/>
        <w:t xml:space="preserve">Designers and other learning professionals can use this checklist </w:t>
      </w:r>
      <w:r w:rsidRPr="0080142B">
        <w:rPr>
          <w:rFonts w:ascii="Poppins" w:hAnsi="Poppins" w:cs="Poppins"/>
          <w:color w:val="FFFFFF" w:themeColor="background1"/>
          <w:sz w:val="22"/>
          <w:szCs w:val="22"/>
        </w:rPr>
        <w:br/>
        <w:t xml:space="preserve">to build more motivational eLearning programs that boost learner </w:t>
      </w:r>
      <w:r w:rsidRPr="0080142B">
        <w:rPr>
          <w:rFonts w:ascii="Poppins" w:hAnsi="Poppins" w:cs="Poppins"/>
          <w:color w:val="FFFFFF" w:themeColor="background1"/>
          <w:sz w:val="22"/>
          <w:szCs w:val="22"/>
        </w:rPr>
        <w:br/>
        <w:t>confidence and competency.</w:t>
      </w:r>
    </w:p>
    <w:p w14:paraId="762D29EE" w14:textId="5703760B" w:rsidR="0080142B" w:rsidRDefault="0080142B" w:rsidP="0080142B">
      <w:pPr>
        <w:spacing w:line="200" w:lineRule="exact"/>
        <w:rPr>
          <w:rFonts w:ascii="Poppins" w:eastAsiaTheme="majorEastAsia" w:hAnsi="Poppins" w:cs="Poppins"/>
          <w:b/>
          <w:bCs/>
          <w:i/>
          <w:iCs/>
          <w:noProof/>
          <w:color w:val="FFFFFF" w:themeColor="background1"/>
          <w:sz w:val="14"/>
          <w:szCs w:val="14"/>
        </w:rPr>
      </w:pPr>
      <w:r w:rsidRPr="0080142B">
        <w:rPr>
          <w:rFonts w:ascii="Poppins" w:hAnsi="Poppins" w:cs="Poppins"/>
          <w:i/>
          <w:iCs/>
          <w:color w:val="FFFFFF" w:themeColor="background1"/>
          <w:sz w:val="16"/>
          <w:szCs w:val="16"/>
          <w14:textFill>
            <w14:solidFill>
              <w14:schemeClr w14:val="bg1">
                <w14:alpha w14:val="68000"/>
              </w14:schemeClr>
            </w14:solidFill>
          </w14:textFill>
        </w:rPr>
        <w:t xml:space="preserve">Please note: the examples included in this checklist are not exhaustive. This resource </w:t>
      </w:r>
      <w:r w:rsidRPr="0080142B">
        <w:rPr>
          <w:rFonts w:ascii="Poppins" w:hAnsi="Poppins" w:cs="Poppins"/>
          <w:i/>
          <w:iCs/>
          <w:color w:val="FFFFFF" w:themeColor="background1"/>
          <w:sz w:val="16"/>
          <w:szCs w:val="16"/>
          <w14:textFill>
            <w14:solidFill>
              <w14:schemeClr w14:val="bg1">
                <w14:alpha w14:val="68000"/>
              </w14:schemeClr>
            </w14:solidFill>
          </w14:textFill>
        </w:rPr>
        <w:br/>
        <w:t>is meant to be customized for your specific industry, company, or onboarding needs</w:t>
      </w:r>
      <w:r w:rsidR="00F16042">
        <w:rPr>
          <w:rFonts w:ascii="Poppins" w:hAnsi="Poppins" w:cs="Poppins"/>
          <w:i/>
          <w:iCs/>
          <w:color w:val="FFFFFF" w:themeColor="background1"/>
          <w:sz w:val="16"/>
          <w:szCs w:val="16"/>
          <w14:textFill>
            <w14:solidFill>
              <w14:schemeClr w14:val="bg1">
                <w14:alpha w14:val="68000"/>
              </w14:schemeClr>
            </w14:solidFill>
          </w14:textFill>
        </w:rPr>
        <w:br/>
      </w:r>
      <w:r w:rsidRPr="0080142B">
        <w:rPr>
          <w:rFonts w:ascii="Poppins" w:hAnsi="Poppins" w:cs="Poppins"/>
          <w:i/>
          <w:iCs/>
          <w:color w:val="FFFFFF" w:themeColor="background1"/>
          <w:sz w:val="16"/>
          <w:szCs w:val="16"/>
          <w14:textFill>
            <w14:solidFill>
              <w14:schemeClr w14:val="bg1">
                <w14:alpha w14:val="68000"/>
              </w14:schemeClr>
            </w14:solidFill>
          </w14:textFill>
        </w:rPr>
        <w:t>.</w:t>
      </w:r>
    </w:p>
    <w:p w14:paraId="53CB4077" w14:textId="1F9BA10D" w:rsidR="0080142B" w:rsidRDefault="0080142B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101" w:type="dxa"/>
        </w:tblCellMar>
        <w:tblLook w:val="04A0" w:firstRow="1" w:lastRow="0" w:firstColumn="1" w:lastColumn="0" w:noHBand="0" w:noVBand="1"/>
      </w:tblPr>
      <w:tblGrid>
        <w:gridCol w:w="561"/>
        <w:gridCol w:w="10229"/>
      </w:tblGrid>
      <w:tr w:rsidR="0080142B" w14:paraId="53B4220A" w14:textId="77777777" w:rsidTr="0080142B">
        <w:trPr>
          <w:trHeight w:val="350"/>
        </w:trPr>
        <w:tc>
          <w:tcPr>
            <w:tcW w:w="10790" w:type="dxa"/>
            <w:gridSpan w:val="2"/>
            <w:tcBorders>
              <w:bottom w:val="single" w:sz="24" w:space="0" w:color="000000"/>
            </w:tcBorders>
          </w:tcPr>
          <w:p w14:paraId="10F64B51" w14:textId="2CFF9E72" w:rsidR="0080142B" w:rsidRPr="00F16042" w:rsidRDefault="0080142B" w:rsidP="0080142B">
            <w:pPr>
              <w:rPr>
                <w:rFonts w:ascii="Poppins SemiBold" w:hAnsi="Poppins SemiBold" w:cs="Poppins SemiBold"/>
                <w:b/>
                <w:bCs/>
                <w:sz w:val="28"/>
                <w:szCs w:val="28"/>
              </w:rPr>
            </w:pPr>
            <w:r w:rsidRPr="00F16042">
              <w:rPr>
                <w:rStyle w:val="oypena"/>
                <w:rFonts w:ascii="Poppins SemiBold" w:hAnsi="Poppins SemiBold" w:cs="Poppins SemiBold"/>
                <w:b/>
                <w:bCs/>
                <w:color w:val="000000"/>
                <w:sz w:val="28"/>
                <w:szCs w:val="28"/>
              </w:rPr>
              <w:t>Objectives to Define</w:t>
            </w:r>
          </w:p>
        </w:tc>
      </w:tr>
      <w:tr w:rsidR="00262B28" w14:paraId="217DE1F6" w14:textId="77777777" w:rsidTr="0080142B">
        <w:tc>
          <w:tcPr>
            <w:tcW w:w="561" w:type="dxa"/>
            <w:tcBorders>
              <w:top w:val="single" w:sz="24" w:space="0" w:color="000000"/>
            </w:tcBorders>
          </w:tcPr>
          <w:p w14:paraId="408ABBA4" w14:textId="4C160E2D" w:rsidR="00262B28" w:rsidRPr="00262B28" w:rsidRDefault="00000000" w:rsidP="00262B28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345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229" w:type="dxa"/>
            <w:tcBorders>
              <w:top w:val="single" w:sz="24" w:space="0" w:color="000000"/>
            </w:tcBorders>
          </w:tcPr>
          <w:p w14:paraId="254D4C89" w14:textId="739DA2E3" w:rsidR="00262B28" w:rsidRPr="00F16042" w:rsidRDefault="00262B28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Business goals</w:t>
            </w: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br/>
            </w:r>
            <w:r w:rsidRPr="00F16042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>identify what business goals your learning program needs to meet.</w:t>
            </w:r>
          </w:p>
        </w:tc>
      </w:tr>
      <w:tr w:rsidR="00262B28" w14:paraId="025974D5" w14:textId="77777777" w:rsidTr="0080142B">
        <w:tc>
          <w:tcPr>
            <w:tcW w:w="561" w:type="dxa"/>
            <w:shd w:val="clear" w:color="auto" w:fill="F2F2F2" w:themeFill="background1" w:themeFillShade="F2"/>
          </w:tcPr>
          <w:p w14:paraId="75526B10" w14:textId="54B65316" w:rsidR="00262B28" w:rsidRPr="00262B28" w:rsidRDefault="00000000" w:rsidP="00262B28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4265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229" w:type="dxa"/>
            <w:shd w:val="clear" w:color="auto" w:fill="F2F2F2" w:themeFill="background1" w:themeFillShade="F2"/>
          </w:tcPr>
          <w:p w14:paraId="75E236B3" w14:textId="6C18CD4C" w:rsidR="00262B28" w:rsidRPr="00F16042" w:rsidRDefault="00262B28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Learning outcomes</w:t>
            </w: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br/>
            </w:r>
            <w:r w:rsidRPr="00F16042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>identify key learning outcomes your organization hopes to achieve through training.</w:t>
            </w:r>
          </w:p>
        </w:tc>
      </w:tr>
      <w:tr w:rsidR="00262B28" w14:paraId="66991460" w14:textId="77777777" w:rsidTr="00F16042">
        <w:trPr>
          <w:trHeight w:val="25"/>
        </w:trPr>
        <w:tc>
          <w:tcPr>
            <w:tcW w:w="561" w:type="dxa"/>
            <w:tcBorders>
              <w:bottom w:val="single" w:sz="8" w:space="0" w:color="000000"/>
            </w:tcBorders>
          </w:tcPr>
          <w:p w14:paraId="3CE3AFF9" w14:textId="634C3E26" w:rsidR="00262B28" w:rsidRPr="00262B28" w:rsidRDefault="00000000" w:rsidP="00262B28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34321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229" w:type="dxa"/>
            <w:tcBorders>
              <w:bottom w:val="single" w:sz="8" w:space="0" w:color="000000"/>
            </w:tcBorders>
          </w:tcPr>
          <w:p w14:paraId="05E2BDD4" w14:textId="1A23D216" w:rsidR="00262B28" w:rsidRPr="00F16042" w:rsidRDefault="00262B28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Skills requirements</w:t>
            </w:r>
            <w:r w:rsidRPr="00F16042"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br/>
            </w:r>
            <w:r w:rsidRPr="00F16042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identify which skills your organization wants to develop through training. </w:t>
            </w:r>
          </w:p>
        </w:tc>
      </w:tr>
    </w:tbl>
    <w:p w14:paraId="76BB99E0" w14:textId="63C1E4DC" w:rsidR="0080142B" w:rsidRDefault="0080142B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101" w:type="dxa"/>
        </w:tblCellMar>
        <w:tblLook w:val="04A0" w:firstRow="1" w:lastRow="0" w:firstColumn="1" w:lastColumn="0" w:noHBand="0" w:noVBand="1"/>
      </w:tblPr>
      <w:tblGrid>
        <w:gridCol w:w="616"/>
        <w:gridCol w:w="10184"/>
      </w:tblGrid>
      <w:tr w:rsidR="0080142B" w14:paraId="61DBF4EE" w14:textId="77777777" w:rsidTr="00F16042">
        <w:trPr>
          <w:trHeight w:val="207"/>
        </w:trPr>
        <w:tc>
          <w:tcPr>
            <w:tcW w:w="10800" w:type="dxa"/>
            <w:gridSpan w:val="2"/>
            <w:tcBorders>
              <w:bottom w:val="single" w:sz="24" w:space="0" w:color="000000"/>
            </w:tcBorders>
          </w:tcPr>
          <w:p w14:paraId="74404D22" w14:textId="41A2CA68" w:rsidR="0080142B" w:rsidRPr="00F16042" w:rsidRDefault="00F16042" w:rsidP="00420B47">
            <w:pPr>
              <w:rPr>
                <w:rFonts w:ascii="Poppins SemiBold" w:hAnsi="Poppins SemiBold" w:cs="Poppins SemiBold"/>
                <w:b/>
                <w:bCs/>
                <w:sz w:val="28"/>
                <w:szCs w:val="28"/>
              </w:rPr>
            </w:pPr>
            <w:r w:rsidRPr="00F16042">
              <w:rPr>
                <w:rFonts w:ascii="Poppins SemiBold" w:hAnsi="Poppins SemiBold" w:cs="Poppins SemiBold"/>
                <w:b/>
                <w:bCs/>
                <w:color w:val="000000"/>
                <w:sz w:val="28"/>
                <w:szCs w:val="28"/>
              </w:rPr>
              <w:t>Key Learning Material Criteria</w:t>
            </w:r>
          </w:p>
        </w:tc>
      </w:tr>
      <w:tr w:rsidR="0080142B" w14:paraId="4FA13FCF" w14:textId="77777777" w:rsidTr="00F16042">
        <w:tc>
          <w:tcPr>
            <w:tcW w:w="616" w:type="dxa"/>
            <w:tcBorders>
              <w:top w:val="single" w:sz="24" w:space="0" w:color="000000"/>
            </w:tcBorders>
          </w:tcPr>
          <w:p w14:paraId="4E5037BC" w14:textId="76895173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9381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top w:val="single" w:sz="24" w:space="0" w:color="000000"/>
            </w:tcBorders>
          </w:tcPr>
          <w:p w14:paraId="769B9D83" w14:textId="2484EB35" w:rsidR="0080142B" w:rsidRPr="0080142B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Personalization</w:t>
            </w:r>
          </w:p>
          <w:p w14:paraId="76770900" w14:textId="78FD5F0E" w:rsidR="0080142B" w:rsidRPr="00F16042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content is tailored to learner role, responsibilities, goals, challenges, and preferences.</w:t>
            </w:r>
          </w:p>
        </w:tc>
      </w:tr>
      <w:tr w:rsidR="0080142B" w14:paraId="5D1010E8" w14:textId="77777777" w:rsidTr="00F16042">
        <w:tc>
          <w:tcPr>
            <w:tcW w:w="616" w:type="dxa"/>
            <w:shd w:val="clear" w:color="auto" w:fill="F2F2F2" w:themeFill="background1" w:themeFillShade="F2"/>
          </w:tcPr>
          <w:p w14:paraId="7819B6F2" w14:textId="44E8BB14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5062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F2F2F2" w:themeFill="background1" w:themeFillShade="F2"/>
          </w:tcPr>
          <w:p w14:paraId="28A354A2" w14:textId="154FC193" w:rsidR="0080142B" w:rsidRPr="0080142B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Interactivity</w:t>
            </w:r>
          </w:p>
          <w:p w14:paraId="0D8C5E73" w14:textId="6C70528C" w:rsidR="0080142B" w:rsidRPr="00F16042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content includes points of engagement like quizzes, simulations, discussion boards, etc.</w:t>
            </w:r>
          </w:p>
        </w:tc>
      </w:tr>
      <w:tr w:rsidR="0080142B" w14:paraId="44A3EA07" w14:textId="77777777" w:rsidTr="00F16042">
        <w:tc>
          <w:tcPr>
            <w:tcW w:w="616" w:type="dxa"/>
            <w:shd w:val="clear" w:color="auto" w:fill="auto"/>
          </w:tcPr>
          <w:p w14:paraId="47BB62A2" w14:textId="2C3C4EA2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15893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auto"/>
          </w:tcPr>
          <w:p w14:paraId="55FCEA83" w14:textId="4CE7C9FB" w:rsidR="0080142B" w:rsidRPr="0080142B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Formal Measurability</w:t>
            </w:r>
          </w:p>
          <w:p w14:paraId="7AC3CD32" w14:textId="1D7D7DFB" w:rsidR="0080142B" w:rsidRPr="00F16042" w:rsidRDefault="0080142B" w:rsidP="00262B28">
            <w:pPr>
              <w:pStyle w:val="cvgsua"/>
              <w:spacing w:before="0" w:beforeAutospacing="0" w:after="0" w:afterAutospacing="0" w:line="260" w:lineRule="exact"/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80142B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content integrates formal assessments as opportunities for assessing level of mastery. </w:t>
            </w:r>
          </w:p>
        </w:tc>
      </w:tr>
      <w:tr w:rsidR="0080142B" w14:paraId="05021B6E" w14:textId="77777777" w:rsidTr="00F16042">
        <w:tc>
          <w:tcPr>
            <w:tcW w:w="616" w:type="dxa"/>
            <w:shd w:val="clear" w:color="auto" w:fill="F2F2F2" w:themeFill="background1" w:themeFillShade="F2"/>
          </w:tcPr>
          <w:p w14:paraId="2D6DE59D" w14:textId="61F3A19A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10948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F2F2F2" w:themeFill="background1" w:themeFillShade="F2"/>
          </w:tcPr>
          <w:p w14:paraId="3EB7CB8C" w14:textId="413BD5A0" w:rsidR="00F16042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Informal Measurability</w:t>
            </w:r>
          </w:p>
          <w:p w14:paraId="2C088D08" w14:textId="77777777" w:rsidR="00F16042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content integrates informal assessments as opportunities for practicing skills in a </w:t>
            </w:r>
          </w:p>
          <w:p w14:paraId="6C0E8B47" w14:textId="084569F0" w:rsidR="0080142B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Style w:val="oypena"/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low-stakes environment.</w:t>
            </w:r>
          </w:p>
        </w:tc>
      </w:tr>
      <w:tr w:rsidR="0080142B" w14:paraId="50BA48D7" w14:textId="77777777" w:rsidTr="00F16042">
        <w:tc>
          <w:tcPr>
            <w:tcW w:w="616" w:type="dxa"/>
            <w:shd w:val="clear" w:color="auto" w:fill="auto"/>
          </w:tcPr>
          <w:p w14:paraId="023B5F71" w14:textId="7ED6E2CE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5078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auto"/>
          </w:tcPr>
          <w:p w14:paraId="0AAFA848" w14:textId="71F3445F" w:rsidR="00F16042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Focused on Providing Performance Feedback</w:t>
            </w:r>
          </w:p>
          <w:p w14:paraId="3AC91F15" w14:textId="2C08AF24" w:rsidR="0080142B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content embeds multiple ways for learners to receive feedback on their performance </w:t>
            </w:r>
          </w:p>
        </w:tc>
      </w:tr>
      <w:tr w:rsidR="0080142B" w14:paraId="0961421D" w14:textId="77777777" w:rsidTr="00F16042">
        <w:trPr>
          <w:trHeight w:val="25"/>
        </w:trPr>
        <w:tc>
          <w:tcPr>
            <w:tcW w:w="616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4C6577C9" w14:textId="781E41EB" w:rsidR="0080142B" w:rsidRPr="00262B28" w:rsidRDefault="00000000" w:rsidP="00420B47">
            <w:pPr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504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3759131F" w14:textId="77777777" w:rsidR="00F16042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  <w:t>Focused on Facilitating Learner Feedback</w:t>
            </w:r>
          </w:p>
          <w:p w14:paraId="6BB13C40" w14:textId="7C989678" w:rsidR="0080142B" w:rsidRPr="00F16042" w:rsidRDefault="00F16042" w:rsidP="00262B28">
            <w:pPr>
              <w:pStyle w:val="cvgsua"/>
              <w:spacing w:before="0" w:beforeAutospacing="0" w:after="0" w:afterAutospacing="0" w:line="26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16042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content embeds multiple ways for learners to share their thoughts on the subject matter and delivery of the course materials</w:t>
            </w:r>
          </w:p>
        </w:tc>
      </w:tr>
    </w:tbl>
    <w:p w14:paraId="5DA807F9" w14:textId="77777777" w:rsidR="00262B28" w:rsidRDefault="00262B28">
      <w:pPr>
        <w:rPr>
          <w:rStyle w:val="oypena"/>
          <w:rFonts w:ascii="Poppins" w:hAnsi="Poppins" w:cs="Poppins"/>
          <w:color w:val="000000"/>
          <w:sz w:val="36"/>
          <w:szCs w:val="36"/>
        </w:rPr>
      </w:pPr>
      <w:r>
        <w:rPr>
          <w:rStyle w:val="oypena"/>
          <w:rFonts w:ascii="Poppins" w:hAnsi="Poppins" w:cs="Poppins"/>
          <w:color w:val="000000"/>
          <w:sz w:val="36"/>
          <w:szCs w:val="36"/>
        </w:rPr>
        <w:br w:type="page"/>
      </w:r>
    </w:p>
    <w:p w14:paraId="6C73962A" w14:textId="3FB6AA17" w:rsidR="00CE5B10" w:rsidRPr="00F16042" w:rsidRDefault="00F16042" w:rsidP="00262B28">
      <w:pPr>
        <w:spacing w:after="360" w:line="240" w:lineRule="auto"/>
        <w:rPr>
          <w:rStyle w:val="oypena"/>
          <w:rFonts w:ascii="Poppins" w:hAnsi="Poppins" w:cs="Poppins"/>
          <w:color w:val="000000"/>
          <w:sz w:val="36"/>
          <w:szCs w:val="36"/>
        </w:rPr>
      </w:pPr>
      <w:r w:rsidRPr="00F16042">
        <w:rPr>
          <w:rStyle w:val="oypena"/>
          <w:rFonts w:ascii="Poppins" w:hAnsi="Poppins" w:cs="Poppins"/>
          <w:color w:val="000000"/>
          <w:sz w:val="36"/>
          <w:szCs w:val="36"/>
        </w:rPr>
        <w:lastRenderedPageBreak/>
        <w:t>ARCS Model for Learning Design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58" w:type="dxa"/>
        </w:tblCellMar>
        <w:tblLook w:val="04A0" w:firstRow="1" w:lastRow="0" w:firstColumn="1" w:lastColumn="0" w:noHBand="0" w:noVBand="1"/>
      </w:tblPr>
      <w:tblGrid>
        <w:gridCol w:w="788"/>
        <w:gridCol w:w="10012"/>
      </w:tblGrid>
      <w:tr w:rsidR="008A102D" w14:paraId="50BE04B0" w14:textId="77777777" w:rsidTr="00EB3988">
        <w:trPr>
          <w:trHeight w:val="25"/>
        </w:trPr>
        <w:tc>
          <w:tcPr>
            <w:tcW w:w="616" w:type="dxa"/>
          </w:tcPr>
          <w:p w14:paraId="24FA6337" w14:textId="7355611F" w:rsidR="004747C3" w:rsidRPr="0080142B" w:rsidRDefault="008A102D" w:rsidP="00420B47">
            <w:pPr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noProof/>
                <w:sz w:val="40"/>
                <w:szCs w:val="40"/>
              </w:rPr>
              <w:drawing>
                <wp:inline distT="0" distB="0" distL="0" distR="0" wp14:anchorId="2D7BDE58" wp14:editId="642DBA67">
                  <wp:extent cx="427990" cy="471299"/>
                  <wp:effectExtent l="0" t="0" r="3810" b="0"/>
                  <wp:docPr id="18225927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4553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08" cy="47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4" w:type="dxa"/>
            <w:tcBorders>
              <w:bottom w:val="single" w:sz="24" w:space="0" w:color="000000"/>
            </w:tcBorders>
            <w:vAlign w:val="center"/>
          </w:tcPr>
          <w:p w14:paraId="34BCF98A" w14:textId="2357B873" w:rsidR="004747C3" w:rsidRPr="004747C3" w:rsidRDefault="004747C3" w:rsidP="00EB3988">
            <w:pPr>
              <w:pStyle w:val="cvgsua"/>
              <w:spacing w:before="0" w:beforeAutospacing="0" w:after="0" w:afterAutospacing="0" w:line="28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 w:rsidRPr="004747C3"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t>Attention</w:t>
            </w:r>
            <w:r w:rsidRPr="004747C3"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br/>
            </w:r>
            <w:r w:rsidRPr="004747C3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Keep learners actively engaged with interactive activities like quizzes, simulations, </w:t>
            </w:r>
            <w:r w:rsidR="008A102D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>&amp;</w:t>
            </w:r>
            <w:r w:rsidRPr="004747C3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 discussions.</w:t>
            </w:r>
          </w:p>
        </w:tc>
      </w:tr>
      <w:tr w:rsidR="008A102D" w14:paraId="30BD8946" w14:textId="77777777" w:rsidTr="008A102D">
        <w:tc>
          <w:tcPr>
            <w:tcW w:w="616" w:type="dxa"/>
            <w:tcBorders>
              <w:top w:val="single" w:sz="24" w:space="0" w:color="000000"/>
            </w:tcBorders>
            <w:vAlign w:val="center"/>
          </w:tcPr>
          <w:p w14:paraId="3D1CA375" w14:textId="7B685F06" w:rsidR="00F16042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31309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top w:val="single" w:sz="24" w:space="0" w:color="000000"/>
            </w:tcBorders>
            <w:vAlign w:val="center"/>
          </w:tcPr>
          <w:p w14:paraId="32383106" w14:textId="223940D2" w:rsidR="00F16042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Present surprising facts to grab attention and make learning memorable.</w:t>
            </w:r>
          </w:p>
        </w:tc>
      </w:tr>
      <w:tr w:rsidR="008A102D" w14:paraId="7E8A4232" w14:textId="77777777" w:rsidTr="008A102D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24810F4" w14:textId="63B37568" w:rsidR="00F16042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9071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F2F2F2" w:themeFill="background1" w:themeFillShade="F2"/>
            <w:vAlign w:val="center"/>
          </w:tcPr>
          <w:p w14:paraId="32443AA3" w14:textId="22C3E659" w:rsidR="00F16042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Use multimedia elements to keep learning interesting.</w:t>
            </w:r>
          </w:p>
        </w:tc>
      </w:tr>
      <w:tr w:rsidR="008A102D" w14:paraId="0B281340" w14:textId="77777777" w:rsidTr="008A102D">
        <w:trPr>
          <w:trHeight w:val="25"/>
        </w:trPr>
        <w:tc>
          <w:tcPr>
            <w:tcW w:w="61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8D6C8D6" w14:textId="5D4AD636" w:rsidR="00F16042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48299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EA9A23" w14:textId="11F0A01B" w:rsidR="00F16042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Incorporate interactive elements to keep learners engaged.</w:t>
            </w:r>
          </w:p>
        </w:tc>
      </w:tr>
    </w:tbl>
    <w:p w14:paraId="690E78B8" w14:textId="77777777" w:rsidR="00F16042" w:rsidRDefault="00F16042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58" w:type="dxa"/>
        </w:tblCellMar>
        <w:tblLook w:val="04A0" w:firstRow="1" w:lastRow="0" w:firstColumn="1" w:lastColumn="0" w:noHBand="0" w:noVBand="1"/>
      </w:tblPr>
      <w:tblGrid>
        <w:gridCol w:w="788"/>
        <w:gridCol w:w="10012"/>
      </w:tblGrid>
      <w:tr w:rsidR="008A102D" w14:paraId="304EC9A2" w14:textId="77777777" w:rsidTr="008A102D">
        <w:trPr>
          <w:trHeight w:val="25"/>
        </w:trPr>
        <w:tc>
          <w:tcPr>
            <w:tcW w:w="616" w:type="dxa"/>
          </w:tcPr>
          <w:p w14:paraId="541A620A" w14:textId="380A0362" w:rsidR="004747C3" w:rsidRPr="0080142B" w:rsidRDefault="008A102D" w:rsidP="00420B47">
            <w:pPr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noProof/>
                <w:sz w:val="40"/>
                <w:szCs w:val="40"/>
              </w:rPr>
              <w:drawing>
                <wp:inline distT="0" distB="0" distL="0" distR="0" wp14:anchorId="73309AF8" wp14:editId="6C85CD9C">
                  <wp:extent cx="429808" cy="473300"/>
                  <wp:effectExtent l="0" t="0" r="2540" b="0"/>
                  <wp:docPr id="5906652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6527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08" cy="4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4" w:type="dxa"/>
            <w:tcBorders>
              <w:bottom w:val="single" w:sz="24" w:space="0" w:color="000000"/>
            </w:tcBorders>
          </w:tcPr>
          <w:p w14:paraId="132FEAC9" w14:textId="3A751953" w:rsidR="004747C3" w:rsidRPr="004747C3" w:rsidRDefault="004747C3" w:rsidP="00420B47">
            <w:pPr>
              <w:pStyle w:val="cvgsua"/>
              <w:spacing w:before="0" w:beforeAutospacing="0" w:after="0" w:afterAutospacing="0" w:line="28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t>Relevance</w:t>
            </w:r>
            <w:r w:rsidRPr="004747C3"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br/>
            </w: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Give learners a sense of autonomy and ownership over their training with customized training</w:t>
            </w:r>
            <w:r w:rsidRPr="004747C3">
              <w:rPr>
                <w:rStyle w:val="oypena"/>
                <w:rFonts w:ascii="Poppins" w:eastAsiaTheme="majorEastAsia" w:hAnsi="Poppins" w:cs="Poppins"/>
                <w:color w:val="000000"/>
                <w:sz w:val="20"/>
                <w:szCs w:val="20"/>
              </w:rPr>
              <w:t>.</w:t>
            </w:r>
          </w:p>
        </w:tc>
      </w:tr>
      <w:tr w:rsidR="008A102D" w14:paraId="182E2CAF" w14:textId="77777777" w:rsidTr="008A102D">
        <w:tc>
          <w:tcPr>
            <w:tcW w:w="616" w:type="dxa"/>
            <w:tcBorders>
              <w:top w:val="single" w:sz="24" w:space="0" w:color="000000"/>
            </w:tcBorders>
            <w:vAlign w:val="center"/>
          </w:tcPr>
          <w:p w14:paraId="599A108F" w14:textId="77777777" w:rsidR="004747C3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5683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top w:val="single" w:sz="24" w:space="0" w:color="000000"/>
            </w:tcBorders>
            <w:vAlign w:val="center"/>
          </w:tcPr>
          <w:p w14:paraId="067A2D72" w14:textId="55CC208C" w:rsidR="004747C3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Use simulations to make learning resonate.</w:t>
            </w:r>
          </w:p>
        </w:tc>
      </w:tr>
      <w:tr w:rsidR="008A102D" w14:paraId="53672240" w14:textId="77777777" w:rsidTr="008A102D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E74E6E1" w14:textId="77777777" w:rsidR="004747C3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262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F2F2F2" w:themeFill="background1" w:themeFillShade="F2"/>
            <w:vAlign w:val="center"/>
          </w:tcPr>
          <w:p w14:paraId="25CA0D26" w14:textId="11492A83" w:rsidR="004747C3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Highlight real-world examples to show the relevance of learning materials.</w:t>
            </w:r>
          </w:p>
        </w:tc>
      </w:tr>
      <w:tr w:rsidR="004747C3" w14:paraId="0AFDADC2" w14:textId="77777777" w:rsidTr="008A102D">
        <w:trPr>
          <w:trHeight w:val="25"/>
        </w:trPr>
        <w:tc>
          <w:tcPr>
            <w:tcW w:w="61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99DAFA" w14:textId="77777777" w:rsidR="004747C3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825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72679C" w14:textId="3C769093" w:rsidR="004747C3" w:rsidRPr="00F16042" w:rsidRDefault="004747C3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Customize training with </w:t>
            </w:r>
            <w:hyperlink r:id="rId9" w:tgtFrame="_blank" w:history="1">
              <w:r w:rsidRPr="004747C3">
                <w:rPr>
                  <w:rStyle w:val="Hyperlink"/>
                  <w:rFonts w:ascii="Poppins" w:eastAsiaTheme="majorEastAsia" w:hAnsi="Poppins" w:cs="Poppins"/>
                  <w:sz w:val="20"/>
                  <w:szCs w:val="20"/>
                </w:rPr>
                <w:t>AI learning playlists</w:t>
              </w:r>
            </w:hyperlink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 and personalized learning paths.</w:t>
            </w:r>
          </w:p>
        </w:tc>
      </w:tr>
    </w:tbl>
    <w:p w14:paraId="2C7B814D" w14:textId="77777777" w:rsidR="004747C3" w:rsidRDefault="004747C3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58" w:type="dxa"/>
        </w:tblCellMar>
        <w:tblLook w:val="04A0" w:firstRow="1" w:lastRow="0" w:firstColumn="1" w:lastColumn="0" w:noHBand="0" w:noVBand="1"/>
      </w:tblPr>
      <w:tblGrid>
        <w:gridCol w:w="788"/>
        <w:gridCol w:w="10012"/>
      </w:tblGrid>
      <w:tr w:rsidR="004747C3" w14:paraId="5EEC3EE4" w14:textId="77777777" w:rsidTr="008A102D">
        <w:trPr>
          <w:trHeight w:val="25"/>
        </w:trPr>
        <w:tc>
          <w:tcPr>
            <w:tcW w:w="616" w:type="dxa"/>
          </w:tcPr>
          <w:p w14:paraId="7219C2A3" w14:textId="0A117674" w:rsidR="004747C3" w:rsidRPr="0080142B" w:rsidRDefault="008A102D" w:rsidP="00420B47">
            <w:pPr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noProof/>
                <w:sz w:val="40"/>
                <w:szCs w:val="40"/>
              </w:rPr>
              <w:drawing>
                <wp:inline distT="0" distB="0" distL="0" distR="0" wp14:anchorId="5AF9E47B" wp14:editId="7B1B973C">
                  <wp:extent cx="429808" cy="473300"/>
                  <wp:effectExtent l="0" t="0" r="2540" b="0"/>
                  <wp:docPr id="12417455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4553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08" cy="4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4" w:type="dxa"/>
            <w:tcBorders>
              <w:bottom w:val="single" w:sz="24" w:space="0" w:color="000000"/>
            </w:tcBorders>
          </w:tcPr>
          <w:p w14:paraId="614CEB50" w14:textId="41A541A9" w:rsidR="004747C3" w:rsidRPr="004747C3" w:rsidRDefault="004747C3" w:rsidP="00420B47">
            <w:pPr>
              <w:pStyle w:val="cvgsua"/>
              <w:spacing w:before="0" w:beforeAutospacing="0" w:after="0" w:afterAutospacing="0" w:line="280" w:lineRule="exact"/>
              <w:rPr>
                <w:rFonts w:ascii="Poppins" w:eastAsiaTheme="majorEastAsia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t>Confidence</w:t>
            </w:r>
            <w:r w:rsidRPr="004747C3"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br/>
            </w: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Provide opportunities for practice so learners can apply newly acquired </w:t>
            </w:r>
            <w:r w:rsid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br/>
            </w:r>
            <w:r w:rsidRPr="004747C3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skills in a low-stakes environment.</w:t>
            </w:r>
          </w:p>
        </w:tc>
      </w:tr>
      <w:tr w:rsidR="008A102D" w14:paraId="08115973" w14:textId="77777777" w:rsidTr="008A102D">
        <w:tc>
          <w:tcPr>
            <w:tcW w:w="616" w:type="dxa"/>
            <w:tcBorders>
              <w:top w:val="single" w:sz="24" w:space="0" w:color="000000"/>
            </w:tcBorders>
            <w:vAlign w:val="center"/>
          </w:tcPr>
          <w:p w14:paraId="2835A113" w14:textId="77777777" w:rsidR="004747C3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34623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top w:val="single" w:sz="24" w:space="0" w:color="000000"/>
            </w:tcBorders>
            <w:vAlign w:val="center"/>
          </w:tcPr>
          <w:p w14:paraId="2C710D20" w14:textId="751120D0" w:rsidR="004747C3" w:rsidRPr="00F16042" w:rsidRDefault="00FA7CB7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A7CB7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Set achievable goals to provide learners with a roadmap for their development and foster a sense of purpose.</w:t>
            </w:r>
          </w:p>
        </w:tc>
      </w:tr>
      <w:tr w:rsidR="008A102D" w14:paraId="236D0E57" w14:textId="77777777" w:rsidTr="008A102D"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CA13592" w14:textId="77777777" w:rsidR="004747C3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0646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C3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F2F2F2" w:themeFill="background1" w:themeFillShade="F2"/>
            <w:vAlign w:val="center"/>
          </w:tcPr>
          <w:p w14:paraId="6F90DCA1" w14:textId="0EE93934" w:rsidR="004747C3" w:rsidRPr="00F16042" w:rsidRDefault="00FA7CB7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A7CB7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Provide clear instructions to help learners feel that they can successfully master the material.</w:t>
            </w:r>
          </w:p>
        </w:tc>
      </w:tr>
      <w:tr w:rsidR="00FA7CB7" w14:paraId="28224155" w14:textId="77777777" w:rsidTr="008A102D">
        <w:tc>
          <w:tcPr>
            <w:tcW w:w="616" w:type="dxa"/>
            <w:shd w:val="clear" w:color="auto" w:fill="auto"/>
            <w:vAlign w:val="center"/>
          </w:tcPr>
          <w:p w14:paraId="01F9F8A5" w14:textId="6F13FB82" w:rsidR="00FA7CB7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1959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B7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auto"/>
            <w:vAlign w:val="center"/>
          </w:tcPr>
          <w:p w14:paraId="6DC48B56" w14:textId="180AE4C4" w:rsidR="00FA7CB7" w:rsidRPr="00FA7CB7" w:rsidRDefault="00FA7CB7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A7CB7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Offer avenues for support to enhance motivation and positive associations with the overall learning experience.  </w:t>
            </w:r>
          </w:p>
        </w:tc>
      </w:tr>
      <w:tr w:rsidR="00FA7CB7" w14:paraId="31F11169" w14:textId="77777777" w:rsidTr="008A102D">
        <w:trPr>
          <w:trHeight w:val="25"/>
        </w:trPr>
        <w:tc>
          <w:tcPr>
            <w:tcW w:w="6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9CBF134" w14:textId="77777777" w:rsidR="00FA7CB7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17676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B7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F12A51" w14:textId="40DF72BC" w:rsidR="00FA7CB7" w:rsidRPr="00F16042" w:rsidRDefault="00FA7CB7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FA7CB7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Build feedback into coursework to empower learners and improve future learning experiences.</w:t>
            </w:r>
          </w:p>
        </w:tc>
      </w:tr>
    </w:tbl>
    <w:p w14:paraId="78B87808" w14:textId="77777777" w:rsidR="004747C3" w:rsidRDefault="004747C3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58" w:type="dxa"/>
        </w:tblCellMar>
        <w:tblLook w:val="04A0" w:firstRow="1" w:lastRow="0" w:firstColumn="1" w:lastColumn="0" w:noHBand="0" w:noVBand="1"/>
      </w:tblPr>
      <w:tblGrid>
        <w:gridCol w:w="788"/>
        <w:gridCol w:w="10012"/>
      </w:tblGrid>
      <w:tr w:rsidR="00262B28" w14:paraId="3928840D" w14:textId="77777777" w:rsidTr="008A102D">
        <w:trPr>
          <w:trHeight w:val="25"/>
        </w:trPr>
        <w:tc>
          <w:tcPr>
            <w:tcW w:w="616" w:type="dxa"/>
          </w:tcPr>
          <w:p w14:paraId="6CBBFF14" w14:textId="12C958FA" w:rsidR="00262B28" w:rsidRPr="0080142B" w:rsidRDefault="008A102D" w:rsidP="00420B47">
            <w:pPr>
              <w:rPr>
                <w:rFonts w:ascii="Poppins" w:hAnsi="Poppins" w:cs="Poppins"/>
                <w:sz w:val="40"/>
                <w:szCs w:val="40"/>
              </w:rPr>
            </w:pPr>
            <w:r>
              <w:rPr>
                <w:rFonts w:ascii="Poppins" w:hAnsi="Poppins" w:cs="Poppins"/>
                <w:noProof/>
                <w:sz w:val="40"/>
                <w:szCs w:val="40"/>
              </w:rPr>
              <w:drawing>
                <wp:inline distT="0" distB="0" distL="0" distR="0" wp14:anchorId="5167255E" wp14:editId="4836D87A">
                  <wp:extent cx="429808" cy="473300"/>
                  <wp:effectExtent l="0" t="0" r="2540" b="0"/>
                  <wp:docPr id="18155707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570715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08" cy="4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4" w:type="dxa"/>
            <w:tcBorders>
              <w:bottom w:val="single" w:sz="24" w:space="0" w:color="000000"/>
            </w:tcBorders>
          </w:tcPr>
          <w:p w14:paraId="033591D7" w14:textId="2EC9612D" w:rsidR="00262B28" w:rsidRPr="00262B28" w:rsidRDefault="00262B28" w:rsidP="00420B47">
            <w:pPr>
              <w:pStyle w:val="cvgsua"/>
              <w:spacing w:before="0" w:beforeAutospacing="0" w:after="0" w:afterAutospacing="0" w:line="28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t>Satisfaction</w:t>
            </w:r>
            <w:r w:rsidRPr="004747C3">
              <w:rPr>
                <w:rFonts w:ascii="Poppins" w:hAnsi="Poppins" w:cs="Poppins"/>
                <w:b/>
                <w:bCs/>
                <w:color w:val="000000"/>
                <w:sz w:val="28"/>
                <w:szCs w:val="28"/>
              </w:rPr>
              <w:br/>
            </w:r>
            <w:r w:rsidRP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 xml:space="preserve">Publicly acknowledge and reward learning activities to build a sense of accomplishment </w:t>
            </w:r>
            <w:r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br/>
            </w:r>
            <w:r w:rsidRP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and foster a stronger culture of learning.</w:t>
            </w:r>
          </w:p>
        </w:tc>
      </w:tr>
      <w:tr w:rsidR="008A102D" w14:paraId="65C03F3F" w14:textId="77777777" w:rsidTr="008A102D">
        <w:tc>
          <w:tcPr>
            <w:tcW w:w="616" w:type="dxa"/>
            <w:tcBorders>
              <w:top w:val="single" w:sz="24" w:space="0" w:color="000000"/>
            </w:tcBorders>
            <w:vAlign w:val="center"/>
          </w:tcPr>
          <w:p w14:paraId="625EC13D" w14:textId="77777777" w:rsidR="00262B28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-18360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top w:val="single" w:sz="24" w:space="0" w:color="000000"/>
            </w:tcBorders>
            <w:vAlign w:val="center"/>
          </w:tcPr>
          <w:p w14:paraId="68281BD2" w14:textId="48DF5871" w:rsidR="00262B28" w:rsidRPr="00F16042" w:rsidRDefault="00262B28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Publicly recognize learning accomplishments to give learners a sense of pride.</w:t>
            </w:r>
          </w:p>
        </w:tc>
      </w:tr>
      <w:tr w:rsidR="00262B28" w14:paraId="7F3EB26D" w14:textId="77777777" w:rsidTr="008A102D">
        <w:tc>
          <w:tcPr>
            <w:tcW w:w="616" w:type="dxa"/>
            <w:shd w:val="clear" w:color="auto" w:fill="auto"/>
            <w:vAlign w:val="center"/>
          </w:tcPr>
          <w:p w14:paraId="34B5D3FA" w14:textId="77777777" w:rsidR="00262B28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17190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shd w:val="clear" w:color="auto" w:fill="auto"/>
            <w:vAlign w:val="center"/>
          </w:tcPr>
          <w:p w14:paraId="3E91ED05" w14:textId="211E5D39" w:rsidR="00262B28" w:rsidRPr="00FA7CB7" w:rsidRDefault="00262B28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Reward learning with financial or career-related incentives to motivate learners to participate in continuous training.</w:t>
            </w:r>
          </w:p>
        </w:tc>
      </w:tr>
      <w:tr w:rsidR="00262B28" w14:paraId="648FE824" w14:textId="77777777" w:rsidTr="008A102D">
        <w:trPr>
          <w:trHeight w:val="25"/>
        </w:trPr>
        <w:tc>
          <w:tcPr>
            <w:tcW w:w="6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500918" w14:textId="77777777" w:rsidR="00262B28" w:rsidRPr="00262B28" w:rsidRDefault="00000000" w:rsidP="008A102D">
            <w:pPr>
              <w:jc w:val="center"/>
              <w:rPr>
                <w:rFonts w:ascii="Poppins" w:hAnsi="Poppins" w:cs="Poppins"/>
                <w:sz w:val="32"/>
                <w:szCs w:val="32"/>
              </w:rPr>
            </w:pPr>
            <w:sdt>
              <w:sdtPr>
                <w:rPr>
                  <w:rFonts w:ascii="Poppins" w:hAnsi="Poppins" w:cs="Poppins"/>
                  <w:sz w:val="32"/>
                  <w:szCs w:val="32"/>
                </w:rPr>
                <w:id w:val="9061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B28" w:rsidRPr="00262B28">
                  <w:rPr>
                    <w:rFonts w:ascii="MS Gothic" w:eastAsia="MS Gothic" w:hAnsi="MS Gothic" w:cs="Poppins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184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799D2F" w14:textId="6AEAB5E7" w:rsidR="00262B28" w:rsidRPr="00F16042" w:rsidRDefault="00262B28" w:rsidP="00262B28">
            <w:pPr>
              <w:pStyle w:val="cvgsua"/>
              <w:spacing w:before="0" w:beforeAutospacing="0" w:after="0" w:afterAutospacing="0" w:line="240" w:lineRule="exact"/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</w:pPr>
            <w:r w:rsidRPr="00262B28">
              <w:rPr>
                <w:rFonts w:ascii="Poppins" w:eastAsiaTheme="majorEastAsia" w:hAnsi="Poppins" w:cs="Poppins"/>
                <w:color w:val="000000"/>
                <w:sz w:val="20"/>
                <w:szCs w:val="20"/>
              </w:rPr>
              <w:t>Gamify learning with leaderboards, badges, and certificates to encourage friendly competition and drive completion.</w:t>
            </w:r>
          </w:p>
        </w:tc>
      </w:tr>
    </w:tbl>
    <w:p w14:paraId="73F29F0B" w14:textId="77777777" w:rsidR="00262B28" w:rsidRPr="0080142B" w:rsidRDefault="00262B28" w:rsidP="0080142B">
      <w:pPr>
        <w:spacing w:line="240" w:lineRule="exact"/>
        <w:rPr>
          <w:rFonts w:ascii="Poppins" w:hAnsi="Poppins" w:cs="Poppins"/>
          <w:i/>
          <w:iCs/>
          <w:sz w:val="14"/>
          <w:szCs w:val="14"/>
        </w:rPr>
      </w:pPr>
    </w:p>
    <w:sectPr w:rsidR="00262B28" w:rsidRPr="0080142B" w:rsidSect="008A102D">
      <w:headerReference w:type="default" r:id="rId12"/>
      <w:footerReference w:type="default" r:id="rId13"/>
      <w:footerReference w:type="first" r:id="rId14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D19B" w14:textId="77777777" w:rsidR="0055203A" w:rsidRDefault="0055203A" w:rsidP="00F16042">
      <w:pPr>
        <w:spacing w:after="0" w:line="240" w:lineRule="auto"/>
      </w:pPr>
      <w:r>
        <w:separator/>
      </w:r>
    </w:p>
  </w:endnote>
  <w:endnote w:type="continuationSeparator" w:id="0">
    <w:p w14:paraId="4E004609" w14:textId="77777777" w:rsidR="0055203A" w:rsidRDefault="0055203A" w:rsidP="00F1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80CA" w14:textId="07E9D9C4" w:rsidR="00F16042" w:rsidRPr="00F16042" w:rsidRDefault="00F16042" w:rsidP="00F16042">
    <w:pPr>
      <w:pStyle w:val="cvgsua"/>
      <w:spacing w:before="0" w:beforeAutospacing="0" w:after="0" w:afterAutospacing="0"/>
      <w:rPr>
        <w:rFonts w:ascii="Poppins SemiBold" w:hAnsi="Poppins SemiBold" w:cs="Poppins SemiBold"/>
        <w:b/>
        <w:bCs/>
        <w:color w:val="8233FF"/>
        <w:sz w:val="28"/>
        <w:szCs w:val="28"/>
      </w:rPr>
    </w:pPr>
    <w:r w:rsidRPr="00F16042">
      <w:rPr>
        <w:rFonts w:ascii="Poppins SemiBold" w:eastAsiaTheme="majorEastAsia" w:hAnsi="Poppins SemiBold" w:cs="Poppins SemiBold"/>
        <w:b/>
        <w:bCs/>
        <w:color w:val="8233FF"/>
        <w:sz w:val="28"/>
        <w:szCs w:val="28"/>
      </w:rPr>
      <w:t>www.litmos.com</w:t>
    </w:r>
  </w:p>
  <w:p w14:paraId="7DE69E88" w14:textId="0A7A8907" w:rsidR="00F16042" w:rsidRPr="00F16042" w:rsidRDefault="00F16042" w:rsidP="00F16042">
    <w:pPr>
      <w:pStyle w:val="cvgsua"/>
      <w:spacing w:before="0" w:beforeAutospacing="0" w:after="0" w:afterAutospacing="0"/>
      <w:rPr>
        <w:rFonts w:ascii="Poppins" w:hAnsi="Poppins" w:cs="Poppins"/>
        <w:color w:val="A6A6A6" w:themeColor="background1" w:themeShade="A6"/>
        <w:sz w:val="16"/>
        <w:szCs w:val="16"/>
      </w:rPr>
    </w:pPr>
    <w:r w:rsidRPr="00F16042">
      <w:rPr>
        <w:rStyle w:val="oypena"/>
        <w:rFonts w:ascii="Poppins" w:eastAsiaTheme="majorEastAsia" w:hAnsi="Poppins" w:cs="Poppins"/>
        <w:color w:val="A6A6A6" w:themeColor="background1" w:themeShade="A6"/>
        <w:sz w:val="16"/>
        <w:szCs w:val="16"/>
      </w:rPr>
      <w:t>© 2025 Litmos US, L.P. and affiliates.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4325" w14:textId="77777777" w:rsidR="008A102D" w:rsidRPr="00F16042" w:rsidRDefault="008A102D" w:rsidP="008A102D">
    <w:pPr>
      <w:pStyle w:val="cvgsua"/>
      <w:spacing w:before="0" w:beforeAutospacing="0" w:after="0" w:afterAutospacing="0"/>
      <w:rPr>
        <w:rFonts w:ascii="Poppins SemiBold" w:hAnsi="Poppins SemiBold" w:cs="Poppins SemiBold"/>
        <w:b/>
        <w:bCs/>
        <w:color w:val="8233FF"/>
        <w:sz w:val="28"/>
        <w:szCs w:val="28"/>
      </w:rPr>
    </w:pPr>
    <w:r w:rsidRPr="00F16042">
      <w:rPr>
        <w:rFonts w:ascii="Poppins SemiBold" w:eastAsiaTheme="majorEastAsia" w:hAnsi="Poppins SemiBold" w:cs="Poppins SemiBold"/>
        <w:b/>
        <w:bCs/>
        <w:color w:val="8233FF"/>
        <w:sz w:val="28"/>
        <w:szCs w:val="28"/>
      </w:rPr>
      <w:t>www.litmos.com</w:t>
    </w:r>
  </w:p>
  <w:p w14:paraId="1593483F" w14:textId="3DBE4A58" w:rsidR="008A102D" w:rsidRPr="008A102D" w:rsidRDefault="008A102D" w:rsidP="008A102D">
    <w:pPr>
      <w:pStyle w:val="cvgsua"/>
      <w:spacing w:before="0" w:beforeAutospacing="0" w:after="0" w:afterAutospacing="0"/>
      <w:rPr>
        <w:rFonts w:ascii="Poppins" w:hAnsi="Poppins" w:cs="Poppins"/>
        <w:color w:val="A6A6A6" w:themeColor="background1" w:themeShade="A6"/>
        <w:sz w:val="16"/>
        <w:szCs w:val="16"/>
      </w:rPr>
    </w:pPr>
    <w:r w:rsidRPr="00F16042">
      <w:rPr>
        <w:rStyle w:val="oypena"/>
        <w:rFonts w:ascii="Poppins" w:eastAsiaTheme="majorEastAsia" w:hAnsi="Poppins" w:cs="Poppins"/>
        <w:color w:val="A6A6A6" w:themeColor="background1" w:themeShade="A6"/>
        <w:sz w:val="16"/>
        <w:szCs w:val="16"/>
      </w:rPr>
      <w:t>© 2025 Litmos US, L.P. and affiliates.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410B" w14:textId="77777777" w:rsidR="0055203A" w:rsidRDefault="0055203A" w:rsidP="00F16042">
      <w:pPr>
        <w:spacing w:after="0" w:line="240" w:lineRule="auto"/>
      </w:pPr>
      <w:r>
        <w:separator/>
      </w:r>
    </w:p>
  </w:footnote>
  <w:footnote w:type="continuationSeparator" w:id="0">
    <w:p w14:paraId="78FFD32D" w14:textId="77777777" w:rsidR="0055203A" w:rsidRDefault="0055203A" w:rsidP="00F1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641C" w14:textId="5282014A" w:rsidR="00F16042" w:rsidRDefault="008A10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CFA90" wp14:editId="30630924">
              <wp:simplePos x="0" y="0"/>
              <wp:positionH relativeFrom="column">
                <wp:posOffset>-58420</wp:posOffset>
              </wp:positionH>
              <wp:positionV relativeFrom="paragraph">
                <wp:posOffset>-309245</wp:posOffset>
              </wp:positionV>
              <wp:extent cx="5593080" cy="311150"/>
              <wp:effectExtent l="0" t="0" r="0" b="0"/>
              <wp:wrapNone/>
              <wp:docPr id="17521820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08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9C67B" w14:textId="77777777" w:rsidR="008A102D" w:rsidRPr="00F16042" w:rsidRDefault="008A102D" w:rsidP="008A102D">
                          <w:pPr>
                            <w:rPr>
                              <w:rFonts w:ascii="Poppins" w:hAnsi="Poppins" w:cs="Poppins"/>
                            </w:rPr>
                          </w:pPr>
                          <w:r w:rsidRPr="00F16042">
                            <w:rPr>
                              <w:rStyle w:val="oypena"/>
                              <w:rFonts w:ascii="Poppins" w:hAnsi="Poppins" w:cs="Poppins"/>
                              <w:b/>
                              <w:bCs/>
                              <w:color w:val="FFFFFF"/>
                            </w:rPr>
                            <w:t>Motivational Design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CFA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6pt;margin-top:-24.35pt;width:440.4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" filled="f" stroked="f" strokeweight=".5pt">
              <v:textbox>
                <w:txbxContent>
                  <w:p w14:paraId="3349C67B" w14:textId="77777777" w:rsidR="008A102D" w:rsidRPr="00F16042" w:rsidRDefault="008A102D" w:rsidP="008A102D">
                    <w:pPr>
                      <w:rPr>
                        <w:rFonts w:ascii="Poppins" w:hAnsi="Poppins" w:cs="Poppins"/>
                      </w:rPr>
                    </w:pPr>
                    <w:r w:rsidRPr="00F16042">
                      <w:rPr>
                        <w:rStyle w:val="oypena"/>
                        <w:rFonts w:ascii="Poppins" w:hAnsi="Poppins" w:cs="Poppins"/>
                        <w:b/>
                        <w:bCs/>
                        <w:color w:val="FFFFFF"/>
                      </w:rPr>
                      <w:t>Motivational Design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B59D3" wp14:editId="467A6D7D">
              <wp:simplePos x="0" y="0"/>
              <wp:positionH relativeFrom="column">
                <wp:posOffset>-496111</wp:posOffset>
              </wp:positionH>
              <wp:positionV relativeFrom="paragraph">
                <wp:posOffset>-447472</wp:posOffset>
              </wp:positionV>
              <wp:extent cx="7966710" cy="514985"/>
              <wp:effectExtent l="0" t="0" r="0" b="5715"/>
              <wp:wrapNone/>
              <wp:docPr id="16537109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6710" cy="5149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9000">
                            <a:srgbClr val="8233FF"/>
                          </a:gs>
                          <a:gs pos="100000">
                            <a:srgbClr val="009AF9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315ED4" id="Rectangle 1" o:spid="_x0000_s1026" style="position:absolute;margin-left:-39.05pt;margin-top:-35.25pt;width:627.3pt;height:4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" fillcolor="#8233ff" stroked="f" strokeweight="1pt">
              <v:fill color2="#009af9" rotate="t" angle="90" colors="0 #8233ff;5898f #8233ff" focus="10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2B"/>
    <w:rsid w:val="000A35E3"/>
    <w:rsid w:val="00262B28"/>
    <w:rsid w:val="003D4014"/>
    <w:rsid w:val="004747C3"/>
    <w:rsid w:val="004A2392"/>
    <w:rsid w:val="0055203A"/>
    <w:rsid w:val="006C4C9A"/>
    <w:rsid w:val="0080142B"/>
    <w:rsid w:val="008A102D"/>
    <w:rsid w:val="009A7F53"/>
    <w:rsid w:val="009F05E9"/>
    <w:rsid w:val="00B1687B"/>
    <w:rsid w:val="00CE5B10"/>
    <w:rsid w:val="00CF5AD0"/>
    <w:rsid w:val="00DE3FBA"/>
    <w:rsid w:val="00E9410D"/>
    <w:rsid w:val="00EB3988"/>
    <w:rsid w:val="00F16042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EEA9"/>
  <w15:chartTrackingRefBased/>
  <w15:docId w15:val="{D4F78C03-8062-2D4E-B6D3-151CC3E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28"/>
  </w:style>
  <w:style w:type="paragraph" w:styleId="Heading1">
    <w:name w:val="heading 1"/>
    <w:basedOn w:val="Normal"/>
    <w:next w:val="Normal"/>
    <w:link w:val="Heading1Char"/>
    <w:uiPriority w:val="9"/>
    <w:qFormat/>
    <w:rsid w:val="00801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4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80142B"/>
  </w:style>
  <w:style w:type="paragraph" w:customStyle="1" w:styleId="cvgsua">
    <w:name w:val="cvgsua"/>
    <w:basedOn w:val="Normal"/>
    <w:rsid w:val="0080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42"/>
  </w:style>
  <w:style w:type="paragraph" w:styleId="Footer">
    <w:name w:val="footer"/>
    <w:basedOn w:val="Normal"/>
    <w:link w:val="FooterChar"/>
    <w:uiPriority w:val="99"/>
    <w:unhideWhenUsed/>
    <w:rsid w:val="00F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42"/>
  </w:style>
  <w:style w:type="character" w:styleId="Hyperlink">
    <w:name w:val="Hyperlink"/>
    <w:basedOn w:val="DefaultParagraphFont"/>
    <w:uiPriority w:val="99"/>
    <w:unhideWhenUsed/>
    <w:rsid w:val="00F160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04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litmos.com/features/ai-playli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Rickert</dc:creator>
  <cp:keywords/>
  <dc:description/>
  <cp:lastModifiedBy>Sara Rickert</cp:lastModifiedBy>
  <cp:revision>3</cp:revision>
  <dcterms:created xsi:type="dcterms:W3CDTF">2025-04-24T16:50:00Z</dcterms:created>
  <dcterms:modified xsi:type="dcterms:W3CDTF">2025-04-24T17:42:00Z</dcterms:modified>
</cp:coreProperties>
</file>